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126FC" w14:textId="7DDCB864" w:rsidR="005070BF" w:rsidRDefault="002D2B88" w:rsidP="005070BF">
      <w:pPr>
        <w:spacing w:before="120" w:line="240" w:lineRule="exact"/>
        <w:rPr>
          <w:lang w:val="en-US"/>
        </w:rPr>
      </w:pPr>
      <w:r>
        <w:rPr>
          <w:sz w:val="24"/>
          <w:lang w:val="en-GB"/>
        </w:rPr>
        <w:t xml:space="preserve">Gradon B. Carter and Graham Pearson, British biological </w:t>
      </w:r>
      <w:proofErr w:type="gramStart"/>
      <w:r>
        <w:rPr>
          <w:sz w:val="24"/>
          <w:lang w:val="en-GB"/>
        </w:rPr>
        <w:t>warfare</w:t>
      </w:r>
      <w:proofErr w:type="gramEnd"/>
      <w:r>
        <w:rPr>
          <w:sz w:val="24"/>
          <w:lang w:val="en-GB"/>
        </w:rPr>
        <w:t xml:space="preserve"> and biological defence, 1925-45. </w:t>
      </w:r>
      <w:r w:rsidR="005070BF">
        <w:rPr>
          <w:sz w:val="24"/>
          <w:lang w:val="en-GB"/>
        </w:rPr>
        <w:t xml:space="preserve"> In: Geissler, E. and J.E. van Courtland Moon (eds.), </w:t>
      </w:r>
      <w:r w:rsidR="005070BF">
        <w:rPr>
          <w:i/>
          <w:sz w:val="24"/>
          <w:lang w:val="en-GB"/>
        </w:rPr>
        <w:t>Biological and Toxin Weapons: Research, Development and Use from the Middle Ages to 1945</w:t>
      </w:r>
      <w:r w:rsidR="005070BF">
        <w:rPr>
          <w:sz w:val="24"/>
          <w:lang w:val="en-GB"/>
        </w:rPr>
        <w:t xml:space="preserve">. SIPRI Chemical &amp; Biological Warfare Studies </w:t>
      </w:r>
      <w:r w:rsidR="005070BF">
        <w:rPr>
          <w:b/>
          <w:sz w:val="24"/>
          <w:lang w:val="en-GB"/>
        </w:rPr>
        <w:t>18</w:t>
      </w:r>
      <w:r w:rsidR="005070BF">
        <w:rPr>
          <w:sz w:val="24"/>
          <w:lang w:val="en-GB"/>
        </w:rPr>
        <w:t xml:space="preserve">, Oxford University Press, Oxford, 1999, </w:t>
      </w:r>
      <w:r>
        <w:rPr>
          <w:sz w:val="24"/>
          <w:lang w:val="en-GB"/>
        </w:rPr>
        <w:t>168-189</w:t>
      </w:r>
      <w:r w:rsidR="005070BF">
        <w:rPr>
          <w:sz w:val="24"/>
          <w:lang w:val="en-GB"/>
        </w:rPr>
        <w:t>.</w:t>
      </w:r>
    </w:p>
    <w:p w14:paraId="1C67BABD" w14:textId="77777777" w:rsidR="006C318D" w:rsidRPr="005070BF" w:rsidRDefault="006C318D">
      <w:pPr>
        <w:rPr>
          <w:lang w:val="en-US"/>
        </w:rPr>
      </w:pPr>
    </w:p>
    <w:sectPr w:rsidR="006C318D" w:rsidRPr="005070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AD"/>
    <w:rsid w:val="002D2B88"/>
    <w:rsid w:val="002E328C"/>
    <w:rsid w:val="00352EC9"/>
    <w:rsid w:val="003B3889"/>
    <w:rsid w:val="005070BF"/>
    <w:rsid w:val="006C318D"/>
    <w:rsid w:val="00733BAD"/>
    <w:rsid w:val="00763F21"/>
    <w:rsid w:val="007C2A80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855"/>
  <w15:chartTrackingRefBased/>
  <w15:docId w15:val="{C0E4B5D8-91BD-4E1A-A4E4-DEBFDAC0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0BF"/>
    <w:pPr>
      <w:suppressAutoHyphens/>
      <w:overflowPunct w:val="0"/>
      <w:autoSpaceDE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3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3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3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3B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3B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3B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3B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3B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3B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3B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3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3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3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3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3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B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B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3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3B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3B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3B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3B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3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2</cp:revision>
  <dcterms:created xsi:type="dcterms:W3CDTF">2024-09-12T15:38:00Z</dcterms:created>
  <dcterms:modified xsi:type="dcterms:W3CDTF">2024-09-12T15:38:00Z</dcterms:modified>
</cp:coreProperties>
</file>